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C" w:rsidRPr="00A81A78" w:rsidRDefault="004F1FFC">
      <w:pPr>
        <w:pStyle w:val="Heading1"/>
        <w:spacing w:before="80"/>
        <w:rPr>
          <w:sz w:val="48"/>
          <w:szCs w:val="48"/>
        </w:rPr>
      </w:pPr>
      <w:r w:rsidRPr="00A81A78">
        <w:rPr>
          <w:color w:val="17365D"/>
          <w:sz w:val="48"/>
          <w:szCs w:val="48"/>
        </w:rPr>
        <w:t>A MAGYAR GYERMEKVE DELMI</w:t>
      </w:r>
    </w:p>
    <w:p w:rsidR="004F1FFC" w:rsidRPr="00A81A78" w:rsidRDefault="004F1FFC">
      <w:pPr>
        <w:ind w:left="138" w:right="1177"/>
        <w:rPr>
          <w:rFonts w:ascii="Cambria" w:hAnsi="Cambria"/>
          <w:sz w:val="48"/>
          <w:szCs w:val="48"/>
        </w:rPr>
      </w:pPr>
      <w:r w:rsidRPr="00A81A78">
        <w:rPr>
          <w:rFonts w:ascii="Cambria" w:hAnsi="Cambria"/>
          <w:color w:val="17365D"/>
          <w:spacing w:val="1"/>
          <w:sz w:val="48"/>
          <w:szCs w:val="48"/>
        </w:rPr>
        <w:t xml:space="preserve">RENDSZER </w:t>
      </w:r>
      <w:r w:rsidRPr="00A81A78">
        <w:rPr>
          <w:rFonts w:ascii="Cambria" w:hAnsi="Cambria"/>
          <w:color w:val="17365D"/>
          <w:spacing w:val="-41"/>
          <w:sz w:val="48"/>
          <w:szCs w:val="48"/>
        </w:rPr>
        <w:t xml:space="preserve">MŰ </w:t>
      </w:r>
      <w:r w:rsidRPr="00A81A78">
        <w:rPr>
          <w:rFonts w:ascii="Cambria" w:hAnsi="Cambria"/>
          <w:color w:val="17365D"/>
          <w:spacing w:val="-57"/>
          <w:sz w:val="48"/>
          <w:szCs w:val="48"/>
        </w:rPr>
        <w:t xml:space="preserve">KÖ </w:t>
      </w:r>
      <w:r w:rsidRPr="00A81A78">
        <w:rPr>
          <w:rFonts w:ascii="Cambria" w:hAnsi="Cambria"/>
          <w:color w:val="17365D"/>
          <w:spacing w:val="-35"/>
          <w:sz w:val="48"/>
          <w:szCs w:val="48"/>
        </w:rPr>
        <w:t xml:space="preserve">DE </w:t>
      </w:r>
      <w:smartTag w:uri="urn:schemas-microsoft-com:office:smarttags" w:element="place">
        <w:r w:rsidRPr="00A81A78">
          <w:rPr>
            <w:rFonts w:ascii="Cambria" w:hAnsi="Cambria"/>
            <w:color w:val="17365D"/>
            <w:spacing w:val="5"/>
            <w:sz w:val="48"/>
            <w:szCs w:val="48"/>
          </w:rPr>
          <w:t xml:space="preserve">SE </w:t>
        </w:r>
        <w:r w:rsidRPr="00A81A78">
          <w:rPr>
            <w:rFonts w:ascii="Cambria" w:hAnsi="Cambria"/>
            <w:color w:val="17365D"/>
            <w:sz w:val="48"/>
            <w:szCs w:val="48"/>
          </w:rPr>
          <w:t>AZ</w:t>
        </w:r>
      </w:smartTag>
      <w:r w:rsidRPr="00A81A78">
        <w:rPr>
          <w:rFonts w:ascii="Cambria" w:hAnsi="Cambria"/>
          <w:color w:val="17365D"/>
          <w:sz w:val="48"/>
          <w:szCs w:val="48"/>
        </w:rPr>
        <w:t xml:space="preserve"> </w:t>
      </w:r>
      <w:r w:rsidRPr="00A81A78">
        <w:rPr>
          <w:rFonts w:ascii="Cambria" w:hAnsi="Cambria"/>
          <w:color w:val="17365D"/>
          <w:spacing w:val="-55"/>
          <w:sz w:val="48"/>
          <w:szCs w:val="48"/>
        </w:rPr>
        <w:t xml:space="preserve">ÖNLINE </w:t>
      </w:r>
      <w:r w:rsidRPr="00A81A78">
        <w:rPr>
          <w:rFonts w:ascii="Cambria" w:hAnsi="Cambria"/>
          <w:color w:val="17365D"/>
          <w:spacing w:val="-56"/>
          <w:sz w:val="48"/>
          <w:szCs w:val="48"/>
        </w:rPr>
        <w:t xml:space="preserve">KÖ </w:t>
      </w:r>
      <w:r w:rsidRPr="00A81A78">
        <w:rPr>
          <w:rFonts w:ascii="Cambria" w:hAnsi="Cambria"/>
          <w:color w:val="17365D"/>
          <w:spacing w:val="1"/>
          <w:sz w:val="48"/>
          <w:szCs w:val="48"/>
        </w:rPr>
        <w:t xml:space="preserve">RNYEZETBEN </w:t>
      </w:r>
      <w:r w:rsidRPr="00A81A78">
        <w:rPr>
          <w:rFonts w:ascii="Cambria" w:hAnsi="Cambria"/>
          <w:color w:val="17365D"/>
          <w:spacing w:val="-48"/>
          <w:sz w:val="48"/>
          <w:szCs w:val="48"/>
        </w:rPr>
        <w:t xml:space="preserve">TÖ </w:t>
      </w:r>
      <w:r w:rsidRPr="00A81A78">
        <w:rPr>
          <w:rFonts w:ascii="Cambria" w:hAnsi="Cambria"/>
          <w:color w:val="17365D"/>
          <w:spacing w:val="-26"/>
          <w:sz w:val="48"/>
          <w:szCs w:val="48"/>
        </w:rPr>
        <w:t xml:space="preserve">RTE </w:t>
      </w:r>
      <w:r w:rsidRPr="00A81A78">
        <w:rPr>
          <w:rFonts w:ascii="Cambria" w:hAnsi="Cambria"/>
          <w:color w:val="17365D"/>
          <w:spacing w:val="-46"/>
          <w:sz w:val="48"/>
          <w:szCs w:val="48"/>
        </w:rPr>
        <w:t xml:space="preserve">NÖ </w:t>
      </w:r>
      <w:r w:rsidRPr="00A81A78">
        <w:rPr>
          <w:rFonts w:ascii="Cambria" w:hAnsi="Cambria"/>
          <w:color w:val="17365D"/>
          <w:spacing w:val="-5"/>
          <w:sz w:val="48"/>
          <w:szCs w:val="48"/>
        </w:rPr>
        <w:t xml:space="preserve">GYERMEKVESZE </w:t>
      </w:r>
      <w:r w:rsidRPr="00A81A78">
        <w:rPr>
          <w:rFonts w:ascii="Cambria" w:hAnsi="Cambria"/>
          <w:color w:val="17365D"/>
          <w:spacing w:val="-13"/>
          <w:sz w:val="48"/>
          <w:szCs w:val="48"/>
        </w:rPr>
        <w:t>LYEZTETE</w:t>
      </w:r>
      <w:r w:rsidRPr="00A81A78">
        <w:rPr>
          <w:rFonts w:ascii="Cambria" w:hAnsi="Cambria"/>
          <w:color w:val="17365D"/>
          <w:spacing w:val="60"/>
          <w:sz w:val="48"/>
          <w:szCs w:val="48"/>
        </w:rPr>
        <w:t xml:space="preserve"> </w:t>
      </w:r>
      <w:r w:rsidRPr="00A81A78">
        <w:rPr>
          <w:rFonts w:ascii="Cambria" w:hAnsi="Cambria"/>
          <w:color w:val="17365D"/>
          <w:sz w:val="48"/>
          <w:szCs w:val="48"/>
        </w:rPr>
        <w:t>S</w:t>
      </w:r>
    </w:p>
    <w:p w:rsidR="004F1FFC" w:rsidRPr="00A81A78" w:rsidRDefault="004F1FFC">
      <w:pPr>
        <w:ind w:left="138"/>
        <w:rPr>
          <w:rFonts w:ascii="Cambria" w:hAnsi="Cambria"/>
          <w:sz w:val="48"/>
          <w:szCs w:val="48"/>
        </w:rPr>
      </w:pPr>
      <w:r>
        <w:rPr>
          <w:noProof/>
          <w:lang w:val="hu-HU" w:eastAsia="hu-HU"/>
        </w:rPr>
        <w:pict>
          <v:line id="_x0000_s1026" style="position:absolute;left:0;text-align:left;z-index:251658240;mso-wrap-distance-left:0;mso-wrap-distance-right:0;mso-position-horizontal-relative:page" from="69.5pt,35.05pt" to="525.95pt,35.05pt" strokecolor="#4f81bd" strokeweight=".96pt">
            <w10:wrap type="topAndBottom" anchorx="page"/>
          </v:line>
        </w:pict>
      </w:r>
      <w:r w:rsidRPr="00A81A78">
        <w:rPr>
          <w:rFonts w:ascii="Cambria" w:hAnsi="Cambria"/>
          <w:color w:val="17365D"/>
          <w:spacing w:val="-40"/>
          <w:sz w:val="48"/>
          <w:szCs w:val="48"/>
        </w:rPr>
        <w:t xml:space="preserve">TŰ </w:t>
      </w:r>
      <w:r w:rsidRPr="00A81A78">
        <w:rPr>
          <w:rFonts w:ascii="Cambria" w:hAnsi="Cambria"/>
          <w:color w:val="17365D"/>
          <w:spacing w:val="-22"/>
          <w:sz w:val="48"/>
          <w:szCs w:val="48"/>
        </w:rPr>
        <w:t>KRE</w:t>
      </w:r>
      <w:r w:rsidRPr="00A81A78">
        <w:rPr>
          <w:rFonts w:ascii="Cambria" w:hAnsi="Cambria"/>
          <w:color w:val="17365D"/>
          <w:spacing w:val="62"/>
          <w:sz w:val="48"/>
          <w:szCs w:val="48"/>
        </w:rPr>
        <w:t xml:space="preserve"> </w:t>
      </w:r>
      <w:r w:rsidRPr="00A81A78">
        <w:rPr>
          <w:rFonts w:ascii="Cambria" w:hAnsi="Cambria"/>
          <w:color w:val="17365D"/>
          <w:sz w:val="48"/>
          <w:szCs w:val="48"/>
        </w:rPr>
        <w:t>BEN</w:t>
      </w:r>
    </w:p>
    <w:p w:rsidR="004F1FFC" w:rsidRDefault="004F1FFC">
      <w:pPr>
        <w:pStyle w:val="BodyText"/>
        <w:spacing w:before="11"/>
        <w:ind w:left="0" w:firstLine="0"/>
        <w:rPr>
          <w:rFonts w:ascii="Cambria"/>
          <w:sz w:val="14"/>
        </w:rPr>
      </w:pPr>
    </w:p>
    <w:p w:rsidR="004F1FFC" w:rsidRDefault="004F1FFC">
      <w:pPr>
        <w:pStyle w:val="BodyText"/>
        <w:spacing w:before="90" w:line="276" w:lineRule="auto"/>
        <w:ind w:left="138" w:right="135" w:firstLine="0"/>
        <w:jc w:val="both"/>
      </w:pPr>
      <w:r>
        <w:t>A magyar gyermekjóléti, gyermekvédelmi, gyámügyi szabályozás törvényi alapja a gyermekek védelméről és a gyámügyi igazgatásról szóló 1997. évi XXXI. törvény (a továbbiakban: Gyvt.), mely végrehajtási rendeleteivel – elsősorban a gyámhatóságokról, valamint a gyermekvédelmi és gyámügyi eljárásról szóló 149/1997. (IX. 10.) Korm. rendelettel (a továbbiakban: Gyer.) – kiegészülve szabályozza a gyermek veszélyeztetettségét megelőzni, megakadályozni, illetve kezelni hivatott intézményi rendszer működését és az ennek során felmerülő feladatait.</w:t>
      </w:r>
    </w:p>
    <w:p w:rsidR="004F1FFC" w:rsidRDefault="004F1FFC">
      <w:pPr>
        <w:pStyle w:val="BodyText"/>
        <w:spacing w:before="121"/>
        <w:ind w:left="138" w:firstLine="0"/>
        <w:jc w:val="both"/>
      </w:pPr>
      <w:r>
        <w:t>A Gyvt. 6. § (5)-(6) bekezdése kimondja:</w:t>
      </w:r>
    </w:p>
    <w:p w:rsidR="004F1FFC" w:rsidRDefault="004F1FFC">
      <w:pPr>
        <w:spacing w:before="160" w:line="276" w:lineRule="auto"/>
        <w:ind w:left="138" w:right="132"/>
        <w:jc w:val="both"/>
        <w:rPr>
          <w:i/>
          <w:sz w:val="24"/>
        </w:rPr>
      </w:pPr>
      <w:r>
        <w:rPr>
          <w:i/>
          <w:sz w:val="24"/>
        </w:rPr>
        <w:t>„A gyermeknek joga van emberi méltósága tiszteletben tartásához, a bántalmazással - fizikai, szexuális vagy lelki erőszakkal - , az elhanyagolással és az információs ártalommal szembeni védelemhez.”</w:t>
      </w:r>
    </w:p>
    <w:p w:rsidR="004F1FFC" w:rsidRDefault="004F1FFC">
      <w:pPr>
        <w:spacing w:before="120" w:line="276" w:lineRule="auto"/>
        <w:ind w:left="138" w:right="137"/>
        <w:jc w:val="both"/>
        <w:rPr>
          <w:i/>
          <w:sz w:val="24"/>
        </w:rPr>
      </w:pPr>
      <w:r>
        <w:rPr>
          <w:i/>
          <w:sz w:val="24"/>
        </w:rPr>
        <w:t>„A gyermeknek joga van ahhoz, hogy a médiában fejlettségének megfelelő, ismeretei bővítését segítő, a magyar nyelv és kultúra értékeit őrző műsorokhoz hozzáférjen, továbbá hogy védelmet élvezzen az olyan káros hatásokkal szemben, mint a gyűlöletkeltés, az erőszak és a pornográfia.”</w:t>
      </w:r>
    </w:p>
    <w:p w:rsidR="004F1FFC" w:rsidRDefault="004F1FFC">
      <w:pPr>
        <w:spacing w:before="120" w:line="276" w:lineRule="auto"/>
        <w:ind w:left="138" w:right="136"/>
        <w:jc w:val="both"/>
        <w:rPr>
          <w:i/>
          <w:sz w:val="24"/>
        </w:rPr>
      </w:pPr>
      <w:r>
        <w:rPr>
          <w:sz w:val="24"/>
        </w:rPr>
        <w:t xml:space="preserve">A Gyvt. 5. § n) pontja szerint pedig </w:t>
      </w:r>
      <w:r>
        <w:rPr>
          <w:i/>
          <w:sz w:val="24"/>
        </w:rPr>
        <w:t>veszélyeztetettség: olyan - a gyermek vagy más személy által tanúsított - magatartás, mulasztás vagy körülmény következtében kialakult állapot, amely a gyermek testi, értelmi, érzelmi vagy erkölcsi fejlődését gátolja vagy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akadályozza.</w:t>
      </w:r>
    </w:p>
    <w:p w:rsidR="004F1FFC" w:rsidRPr="00A81A78" w:rsidRDefault="004F1FFC" w:rsidP="00A81A78">
      <w:pPr>
        <w:spacing w:before="120" w:line="276" w:lineRule="auto"/>
        <w:ind w:left="138" w:right="134"/>
        <w:jc w:val="both"/>
        <w:rPr>
          <w:b/>
          <w:sz w:val="24"/>
        </w:rPr>
      </w:pPr>
      <w:r>
        <w:t xml:space="preserve">A fentiek szerint deklarált gyermeki jogok sérelme esetén e meghatározás egyértelműen alkalmazható azokra a helyzetekre is, amikor a gyermek testi, értelmi, érzelmi vagy erkölcsi fejlődését gátló vagy akadályozó körülmények online környezetben merülnek fel. </w:t>
      </w:r>
      <w:r>
        <w:rPr>
          <w:b/>
        </w:rPr>
        <w:t>Így a gyermek veszélyeztetettsége esetén, ha az az információs ártalommal összefüggésben áll fenn, a gyermekjóléti szolgáltató és a gyámhatóság az általános szabályok szerint járhat el a gyermek védelme érdekében.</w:t>
      </w:r>
    </w:p>
    <w:p w:rsidR="004F1FFC" w:rsidRDefault="004F1FFC">
      <w:pPr>
        <w:pStyle w:val="Heading2"/>
        <w:spacing w:before="181"/>
      </w:pPr>
      <w:r>
        <w:rPr>
          <w:color w:val="365F91"/>
        </w:rPr>
        <w:t>Gyermekvédelmi jelzőrendszer</w:t>
      </w:r>
    </w:p>
    <w:p w:rsidR="004F1FFC" w:rsidRDefault="004F1FFC">
      <w:pPr>
        <w:pStyle w:val="BodyText"/>
        <w:spacing w:before="47"/>
        <w:ind w:left="138" w:firstLine="0"/>
        <w:jc w:val="both"/>
      </w:pPr>
      <w:r>
        <w:t>A  magyar  gyermekvédelmi  rendszer  „első  lépcsője”  a  –  települési  szinten  működő  –</w:t>
      </w:r>
    </w:p>
    <w:p w:rsidR="004F1FFC" w:rsidRDefault="004F1FFC">
      <w:pPr>
        <w:pStyle w:val="BodyText"/>
        <w:spacing w:before="40"/>
        <w:ind w:left="138" w:firstLine="0"/>
        <w:jc w:val="both"/>
      </w:pPr>
      <w:r>
        <w:t>gyermekjóléti szolgáltató által koordinált működésű ún. jelzőrendszer, melynek a Gyvt. 17. §</w:t>
      </w:r>
    </w:p>
    <w:p w:rsidR="004F1FFC" w:rsidRDefault="004F1FFC">
      <w:pPr>
        <w:pStyle w:val="ListParagraph"/>
        <w:numPr>
          <w:ilvl w:val="0"/>
          <w:numId w:val="2"/>
        </w:numPr>
        <w:tabs>
          <w:tab w:val="left" w:pos="478"/>
        </w:tabs>
        <w:spacing w:before="40"/>
        <w:jc w:val="both"/>
        <w:rPr>
          <w:sz w:val="24"/>
        </w:rPr>
      </w:pPr>
      <w:r>
        <w:rPr>
          <w:sz w:val="24"/>
        </w:rPr>
        <w:t>bekezdése értelmében</w:t>
      </w:r>
      <w:r>
        <w:rPr>
          <w:spacing w:val="1"/>
          <w:sz w:val="24"/>
        </w:rPr>
        <w:t xml:space="preserve"> </w:t>
      </w:r>
      <w:r>
        <w:rPr>
          <w:sz w:val="24"/>
        </w:rPr>
        <w:t>részei</w:t>
      </w:r>
    </w:p>
    <w:p w:rsidR="004F1FFC" w:rsidRDefault="004F1FFC">
      <w:pPr>
        <w:jc w:val="both"/>
        <w:rPr>
          <w:sz w:val="24"/>
        </w:rPr>
        <w:sectPr w:rsidR="004F1FFC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74" w:line="273" w:lineRule="auto"/>
        <w:ind w:right="138"/>
        <w:rPr>
          <w:sz w:val="24"/>
        </w:rPr>
      </w:pPr>
      <w:r>
        <w:rPr>
          <w:sz w:val="24"/>
        </w:rPr>
        <w:t>az egészségügyi szolgáltatást nyújtók, így különösen a védőnői szolgálat, a háziorvos, a házi</w:t>
      </w:r>
      <w:r>
        <w:rPr>
          <w:spacing w:val="-2"/>
          <w:sz w:val="24"/>
        </w:rPr>
        <w:t xml:space="preserve"> </w:t>
      </w:r>
      <w:r>
        <w:rPr>
          <w:sz w:val="24"/>
        </w:rPr>
        <w:t>gyermekorvos,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3"/>
        <w:rPr>
          <w:sz w:val="24"/>
        </w:rPr>
      </w:pPr>
      <w:r>
        <w:rPr>
          <w:sz w:val="24"/>
        </w:rPr>
        <w:t>a személyes gondoskodást nyújtó</w:t>
      </w:r>
      <w:r>
        <w:rPr>
          <w:spacing w:val="-1"/>
          <w:sz w:val="24"/>
        </w:rPr>
        <w:t xml:space="preserve"> </w:t>
      </w:r>
      <w:r>
        <w:rPr>
          <w:sz w:val="24"/>
        </w:rPr>
        <w:t>szolgáltatók,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1"/>
        <w:rPr>
          <w:sz w:val="24"/>
        </w:rPr>
      </w:pPr>
      <w:r>
        <w:rPr>
          <w:sz w:val="24"/>
        </w:rPr>
        <w:t>a köznevelési</w:t>
      </w:r>
      <w:r>
        <w:rPr>
          <w:spacing w:val="-2"/>
          <w:sz w:val="24"/>
        </w:rPr>
        <w:t xml:space="preserve"> </w:t>
      </w:r>
      <w:r>
        <w:rPr>
          <w:sz w:val="24"/>
        </w:rPr>
        <w:t>intézmények,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rendőrség,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2"/>
        <w:rPr>
          <w:sz w:val="24"/>
        </w:rPr>
      </w:pPr>
      <w:r>
        <w:rPr>
          <w:sz w:val="24"/>
        </w:rPr>
        <w:t>az ügyészség,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bíróság,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1"/>
        <w:rPr>
          <w:sz w:val="24"/>
        </w:rPr>
      </w:pPr>
      <w:r>
        <w:rPr>
          <w:sz w:val="24"/>
        </w:rPr>
        <w:t>a pártfogó felügyelői</w:t>
      </w:r>
      <w:r>
        <w:rPr>
          <w:spacing w:val="-2"/>
          <w:sz w:val="24"/>
        </w:rPr>
        <w:t xml:space="preserve"> </w:t>
      </w:r>
      <w:r>
        <w:rPr>
          <w:sz w:val="24"/>
        </w:rPr>
        <w:t>szolgálat,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az áldozatsegítés és a kárenyhítés feladatait ellátó</w:t>
      </w:r>
      <w:r>
        <w:rPr>
          <w:spacing w:val="-3"/>
          <w:sz w:val="24"/>
        </w:rPr>
        <w:t xml:space="preserve"> </w:t>
      </w:r>
      <w:r>
        <w:rPr>
          <w:sz w:val="24"/>
        </w:rPr>
        <w:t>szervezetek,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 menekülteket befogadó állomás, a menekültek átmeneti</w:t>
      </w:r>
      <w:r>
        <w:rPr>
          <w:spacing w:val="-4"/>
          <w:sz w:val="24"/>
        </w:rPr>
        <w:t xml:space="preserve"> </w:t>
      </w:r>
      <w:r>
        <w:rPr>
          <w:sz w:val="24"/>
        </w:rPr>
        <w:t>szállása,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1"/>
        <w:rPr>
          <w:sz w:val="24"/>
        </w:rPr>
      </w:pPr>
      <w:r>
        <w:rPr>
          <w:sz w:val="24"/>
        </w:rPr>
        <w:t>az egyesületek, az alapítványok és az egyházi jogi személyek,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 munkaügyi</w:t>
      </w:r>
      <w:r>
        <w:rPr>
          <w:spacing w:val="-2"/>
          <w:sz w:val="24"/>
        </w:rPr>
        <w:t xml:space="preserve"> </w:t>
      </w:r>
      <w:r>
        <w:rPr>
          <w:sz w:val="24"/>
        </w:rPr>
        <w:t>hatóság,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javítóintézet,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0"/>
        <w:rPr>
          <w:sz w:val="24"/>
        </w:rPr>
      </w:pPr>
      <w:r>
        <w:rPr>
          <w:sz w:val="24"/>
        </w:rPr>
        <w:t>a gyermekjogi</w:t>
      </w:r>
      <w:r>
        <w:rPr>
          <w:spacing w:val="-2"/>
          <w:sz w:val="24"/>
        </w:rPr>
        <w:t xml:space="preserve"> </w:t>
      </w:r>
      <w:r>
        <w:rPr>
          <w:sz w:val="24"/>
        </w:rPr>
        <w:t>képviselő,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  <w:tab w:val="left" w:pos="1189"/>
          <w:tab w:val="left" w:pos="3026"/>
          <w:tab w:val="left" w:pos="3453"/>
          <w:tab w:val="left" w:pos="4635"/>
          <w:tab w:val="left" w:pos="6286"/>
          <w:tab w:val="left" w:pos="7058"/>
          <w:tab w:val="left" w:pos="8070"/>
          <w:tab w:val="left" w:pos="8495"/>
        </w:tabs>
        <w:spacing w:line="273" w:lineRule="auto"/>
        <w:ind w:right="144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gyermekvédelmi</w:t>
      </w:r>
      <w:r>
        <w:rPr>
          <w:sz w:val="24"/>
        </w:rPr>
        <w:tab/>
        <w:t>és</w:t>
      </w:r>
      <w:r>
        <w:rPr>
          <w:sz w:val="24"/>
        </w:rPr>
        <w:tab/>
        <w:t>gyámügyi</w:t>
      </w:r>
      <w:r>
        <w:rPr>
          <w:sz w:val="24"/>
        </w:rPr>
        <w:tab/>
        <w:t>feladatkörében</w:t>
      </w:r>
      <w:r>
        <w:rPr>
          <w:sz w:val="24"/>
        </w:rPr>
        <w:tab/>
        <w:t>eljáró</w:t>
      </w:r>
      <w:r>
        <w:rPr>
          <w:sz w:val="24"/>
        </w:rPr>
        <w:tab/>
        <w:t>fővárosi</w:t>
      </w:r>
      <w:r>
        <w:rPr>
          <w:sz w:val="24"/>
        </w:rPr>
        <w:tab/>
        <w:t>és</w:t>
      </w:r>
      <w:r>
        <w:rPr>
          <w:sz w:val="24"/>
        </w:rPr>
        <w:tab/>
        <w:t>megyei kormányhivatal,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3"/>
        <w:rPr>
          <w:sz w:val="24"/>
        </w:rPr>
      </w:pPr>
      <w:r>
        <w:rPr>
          <w:sz w:val="24"/>
        </w:rPr>
        <w:t>az állam fenntartói feladatainak ellátására a Kormány rendeletében kijelölt</w:t>
      </w:r>
      <w:r>
        <w:rPr>
          <w:spacing w:val="-10"/>
          <w:sz w:val="24"/>
        </w:rPr>
        <w:t xml:space="preserve"> </w:t>
      </w:r>
      <w:r>
        <w:rPr>
          <w:sz w:val="24"/>
        </w:rPr>
        <w:t>szerv.</w:t>
      </w:r>
    </w:p>
    <w:p w:rsidR="004F1FFC" w:rsidRDefault="004F1FFC">
      <w:pPr>
        <w:spacing w:before="162" w:line="276" w:lineRule="auto"/>
        <w:ind w:left="138" w:right="134"/>
        <w:jc w:val="both"/>
        <w:rPr>
          <w:sz w:val="24"/>
        </w:rPr>
      </w:pPr>
      <w:r>
        <w:rPr>
          <w:sz w:val="24"/>
        </w:rPr>
        <w:t xml:space="preserve">Ezen intézmények és személyek – melyek körében </w:t>
      </w:r>
      <w:r>
        <w:rPr>
          <w:b/>
          <w:sz w:val="24"/>
        </w:rPr>
        <w:t xml:space="preserve">a gyermekek legszélesebb körével való, legkiterjedtebb kapcsolatunk miatt különösen a köznevelési intézmények, a gyermekek napközbeni ellátását végző szolgáltatók (pl. bölcsőde, családi napközi) és az egészségügyi szolgáltatást nyújtók felelősségét tartjuk kiemelendőnek </w:t>
      </w:r>
      <w:r>
        <w:rPr>
          <w:sz w:val="24"/>
        </w:rPr>
        <w:t xml:space="preserve">– </w:t>
      </w:r>
      <w:r>
        <w:rPr>
          <w:b/>
          <w:sz w:val="24"/>
        </w:rPr>
        <w:t>kötelesek jelzéssel élni a gyermek veszélyeztetettsége esetén a gyermekjóléti szolgáltatást nyújtó szolgáltatónál</w:t>
      </w:r>
      <w:r>
        <w:rPr>
          <w:sz w:val="24"/>
        </w:rPr>
        <w:t>, illetve hatósági eljárást kezdeményezni a gyermek bántalmazása, illetve súlyos elhanyagolása vagy egyéb más, súlyos veszélyeztető ok fennállása, továbbá a gyermek önmaga által előidézett súlyos veszélyeztető magatartása esetén.</w:t>
      </w:r>
    </w:p>
    <w:p w:rsidR="004F1FFC" w:rsidRDefault="004F1FFC">
      <w:pPr>
        <w:pStyle w:val="Heading3"/>
        <w:spacing w:before="125"/>
        <w:jc w:val="left"/>
      </w:pPr>
      <w:r>
        <w:t>Ilyen jelzéssel és kezdeményezéssel egyébként bármely állampolgár és a gyermekek</w:t>
      </w:r>
    </w:p>
    <w:p w:rsidR="004F1FFC" w:rsidRDefault="004F1FFC">
      <w:pPr>
        <w:spacing w:before="43"/>
        <w:ind w:left="138"/>
        <w:rPr>
          <w:b/>
          <w:sz w:val="24"/>
        </w:rPr>
      </w:pPr>
      <w:r>
        <w:rPr>
          <w:b/>
          <w:sz w:val="24"/>
        </w:rPr>
        <w:t>érdekeit képviselő társadalmi szervezet is élhet.</w:t>
      </w:r>
    </w:p>
    <w:p w:rsidR="004F1FFC" w:rsidRDefault="004F1FFC">
      <w:pPr>
        <w:pStyle w:val="BodyText"/>
        <w:spacing w:before="156" w:line="276" w:lineRule="auto"/>
        <w:ind w:left="138" w:right="137" w:firstLine="0"/>
        <w:jc w:val="both"/>
      </w:pPr>
      <w:r>
        <w:t>Megjegyzendő, hogy a jelzőrendszer 2016-2017 folyamán négyszintűvé alakult, melyből két szint 2016. január 1-jétől kialakításra került: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120" w:line="276" w:lineRule="auto"/>
        <w:ind w:right="134"/>
        <w:jc w:val="both"/>
        <w:rPr>
          <w:sz w:val="24"/>
        </w:rPr>
      </w:pPr>
      <w:r>
        <w:rPr>
          <w:sz w:val="24"/>
        </w:rPr>
        <w:t>Helyi szinten – a család- és gyermekjóléti szolgálat feladata a helyi gyermekvédelmi jelzőrendszer szervezése, az együttműködési formák kialakítása, működtetése, dokumentálása. A feladatra nevesítve lett jelzőrendszeri felelős, aki a területről érkező jelzéseket heti rendszerességgel lejelenti a járási család- és gyermekjóléti központ jelzőrendszeri tanácsadója felé. Helyi szinten történik az esetkonferenciák szervezése, összehívása a járási szint jelzőrendszeri tanácsadója</w:t>
      </w:r>
      <w:r>
        <w:rPr>
          <w:spacing w:val="-7"/>
          <w:sz w:val="24"/>
        </w:rPr>
        <w:t xml:space="preserve"> </w:t>
      </w:r>
      <w:r>
        <w:rPr>
          <w:sz w:val="24"/>
        </w:rPr>
        <w:t>részvételével.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0" w:line="276" w:lineRule="auto"/>
        <w:ind w:right="133"/>
        <w:jc w:val="both"/>
        <w:rPr>
          <w:sz w:val="24"/>
        </w:rPr>
      </w:pPr>
      <w:r>
        <w:rPr>
          <w:sz w:val="24"/>
        </w:rPr>
        <w:t>Járási szinten – a család- és gyermekjóléti központ folyamatos szakmai hátteret biztosít a települési szinten dolgozó családgondozóknak, jelzőrendszeri felelősöknek, fogadja jelzéseiket, problémáikat. A járási jelzőrendszeri tanácsadó feladata a települési szintű jelzőrendszerek működésének segítése, szakmai támogatása. A település családgondozóinak, jelzőrendszeri felelőseinek jelzőrendszeri munkáját koordinálja, feladata a településekre szervezett esetkonferenciák,</w:t>
      </w:r>
      <w:r>
        <w:rPr>
          <w:spacing w:val="10"/>
          <w:sz w:val="24"/>
        </w:rPr>
        <w:t xml:space="preserve"> </w:t>
      </w:r>
      <w:r>
        <w:rPr>
          <w:sz w:val="24"/>
        </w:rPr>
        <w:t>szakmaközi</w:t>
      </w:r>
    </w:p>
    <w:p w:rsidR="004F1FFC" w:rsidRDefault="004F1FFC">
      <w:pPr>
        <w:spacing w:line="276" w:lineRule="auto"/>
        <w:jc w:val="both"/>
        <w:rPr>
          <w:sz w:val="24"/>
        </w:rPr>
        <w:sectPr w:rsidR="004F1FFC">
          <w:pgSz w:w="11910" w:h="16840"/>
          <w:pgMar w:top="1320" w:right="1280" w:bottom="280" w:left="1280" w:header="708" w:footer="708" w:gutter="0"/>
          <w:cols w:space="708"/>
        </w:sectPr>
      </w:pPr>
    </w:p>
    <w:p w:rsidR="004F1FFC" w:rsidRDefault="004F1FFC">
      <w:pPr>
        <w:pStyle w:val="BodyText"/>
        <w:spacing w:before="74" w:line="276" w:lineRule="auto"/>
        <w:ind w:right="139" w:firstLine="0"/>
      </w:pPr>
      <w:r>
        <w:t>megbeszélések, éves szakmai tanácskozás szervezésében való részvétel, az azokon való részvétel.</w:t>
      </w:r>
    </w:p>
    <w:p w:rsidR="004F1FFC" w:rsidRDefault="004F1FFC">
      <w:pPr>
        <w:pStyle w:val="BodyText"/>
        <w:ind w:left="138" w:firstLine="0"/>
      </w:pPr>
      <w:r>
        <w:t>2017. január 1-jétől továbbá: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Megyei szinten - a gyermekvédelmi észlelő- és jelzőrendszer keretében a helyi és járási szint mellett a gyermekvédelmi és gyámügyi feladatkörében eljáró fővárosi és megyei kormányhivatalok számára is feladat került meghatározásra a jelzőrendszer jogszabályban meghatározott működésének elősegítése érdekében. A fővárosi és megyei kormányhivatal támogatást nyújt a gyermekvédelmi jelzőrendszer működése kapcsán létrejött problémák, nehézségek, kezeléséhez, a Gyvt. 17. §-ában meghatározott gyermekvédelmi észlelő- és jelző rendszer tagjainak, továbbá a gyermekjóléti szolgáltatást</w:t>
      </w:r>
      <w:r>
        <w:rPr>
          <w:spacing w:val="-2"/>
          <w:sz w:val="24"/>
        </w:rPr>
        <w:t xml:space="preserve"> </w:t>
      </w:r>
      <w:r>
        <w:rPr>
          <w:sz w:val="24"/>
        </w:rPr>
        <w:t>nyújtóknak.</w:t>
      </w:r>
    </w:p>
    <w:p w:rsidR="004F1FFC" w:rsidRDefault="004F1FFC">
      <w:pPr>
        <w:pStyle w:val="ListParagraph"/>
        <w:numPr>
          <w:ilvl w:val="1"/>
          <w:numId w:val="2"/>
        </w:numPr>
        <w:tabs>
          <w:tab w:val="left" w:pos="859"/>
        </w:tabs>
        <w:spacing w:before="2" w:line="276" w:lineRule="auto"/>
        <w:ind w:right="134"/>
        <w:jc w:val="both"/>
        <w:rPr>
          <w:sz w:val="24"/>
        </w:rPr>
      </w:pPr>
      <w:r>
        <w:rPr>
          <w:sz w:val="24"/>
        </w:rPr>
        <w:t>Országos szinten – Országos módszertani feladatellátás és országos gyermekvédelmi jelzőrendszeri hívószám működtetése. Az állam fenntartói feladatainak ellátása körében gondoskodik a jelzőrendszer hatékony működésének fejlesztéséről, mely tevékenység ellátására a Szociális és Gyermekvédelmi Főigazgatóságot jelöli ki. Feladat a gyermekvédelmi jelzőrendszer hatékony működésének országos szakmai támogatása, fejlesztése, képzések kidolgozása és megszervezése, szabályozási és módosítási javaslatok megfogalmazása az ágazati irányítás felé. A jelzőrendszeri működés támogatása és a gyermek veszélyeztetettségét jelző bejelentések fogadása érdekében 2017. január 1-től országosan egységes gyermekvédelmi jelzőrendszeri hívószám működtetése került nevesítésre a</w:t>
      </w:r>
      <w:r>
        <w:rPr>
          <w:spacing w:val="-4"/>
          <w:sz w:val="24"/>
        </w:rPr>
        <w:t xml:space="preserve"> </w:t>
      </w:r>
      <w:r>
        <w:rPr>
          <w:sz w:val="24"/>
        </w:rPr>
        <w:t>Gyvt.-ben.</w:t>
      </w:r>
    </w:p>
    <w:p w:rsidR="004F1FFC" w:rsidRDefault="004F1FFC">
      <w:pPr>
        <w:pStyle w:val="BodyText"/>
        <w:ind w:left="0" w:firstLine="0"/>
        <w:rPr>
          <w:sz w:val="26"/>
        </w:rPr>
      </w:pPr>
    </w:p>
    <w:p w:rsidR="004F1FFC" w:rsidRDefault="004F1FFC">
      <w:pPr>
        <w:pStyle w:val="Heading2"/>
        <w:jc w:val="left"/>
      </w:pPr>
      <w:r>
        <w:rPr>
          <w:color w:val="365F91"/>
        </w:rPr>
        <w:t>Gyermekjóléti szolgáltatás</w:t>
      </w:r>
    </w:p>
    <w:p w:rsidR="004F1FFC" w:rsidRDefault="004F1FFC">
      <w:pPr>
        <w:pStyle w:val="Heading3"/>
        <w:spacing w:before="50" w:line="276" w:lineRule="auto"/>
        <w:ind w:right="141"/>
      </w:pPr>
      <w:r>
        <w:t>A fenti struktúra megléte mellett a veszélyeztetettséget észlelő személyek és szervek számára elsősorban a települési család- és gyermekjóléti szolgáltató, illetve a járási család- és gyermekjóléti központ felé történő jelzés megtétele javasolt a közvetlen elérhetőség okán.</w:t>
      </w:r>
    </w:p>
    <w:p w:rsidR="004F1FFC" w:rsidRDefault="004F1FFC">
      <w:pPr>
        <w:spacing w:before="116" w:line="276" w:lineRule="auto"/>
        <w:ind w:left="138" w:right="134"/>
        <w:jc w:val="both"/>
        <w:rPr>
          <w:i/>
          <w:sz w:val="24"/>
        </w:rPr>
      </w:pPr>
      <w:r>
        <w:rPr>
          <w:sz w:val="24"/>
        </w:rPr>
        <w:t xml:space="preserve">A gyermekjóléti szolgáltatás a Gyvt. 39. § (1)-(2) bekezdéseiből következően </w:t>
      </w:r>
      <w:r>
        <w:rPr>
          <w:i/>
          <w:sz w:val="24"/>
        </w:rPr>
        <w:t xml:space="preserve">olyan, a gyermek érdekeit védő speciális személyes szociális szolgáltatás, amely a szociális munka módszereinek és eszközeinek felhasználásával szolgálja a gyermek testi és lelki egészségének, családban történő nevelkedésének elősegítését, </w:t>
      </w:r>
      <w:r>
        <w:rPr>
          <w:b/>
          <w:i/>
          <w:sz w:val="24"/>
        </w:rPr>
        <w:t>a gyermek veszélyeztetettségének megelőzését, a kialakult veszélyeztetettség megszüntetését</w:t>
      </w:r>
      <w:r>
        <w:rPr>
          <w:i/>
          <w:sz w:val="24"/>
        </w:rPr>
        <w:t>, illetve a családjából kiemelt gyermek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visszahelyezését.</w:t>
      </w:r>
    </w:p>
    <w:p w:rsidR="004F1FFC" w:rsidRDefault="004F1FFC">
      <w:pPr>
        <w:spacing w:before="120" w:line="276" w:lineRule="auto"/>
        <w:ind w:left="138" w:right="136"/>
        <w:jc w:val="both"/>
        <w:rPr>
          <w:b/>
          <w:i/>
          <w:sz w:val="24"/>
        </w:rPr>
      </w:pPr>
      <w:r>
        <w:rPr>
          <w:sz w:val="24"/>
        </w:rPr>
        <w:t xml:space="preserve">A gyermekjóléti szolgáltatás feladata – többek között – </w:t>
      </w:r>
      <w:r>
        <w:rPr>
          <w:i/>
          <w:sz w:val="24"/>
        </w:rPr>
        <w:t xml:space="preserve">a gyermek testi, lelki egészségének, családban történő nevelésének elősegítése érdekében a gyermeki jogokról és a gyermek fejlődését biztosító támogatásokról való tájékoztatás, a támogatásokhoz való hozzájutás segítése, a családtervezési, </w:t>
      </w:r>
      <w:r>
        <w:rPr>
          <w:b/>
          <w:i/>
          <w:sz w:val="24"/>
        </w:rPr>
        <w:t>a pszichológiai, a nevelési, az egészségügyi, a mentálhigiénés és a káros szenvedélyek megelőzését célzó tanácsadás vagy az ezekhez való hozzájutás megszervezése.</w:t>
      </w:r>
    </w:p>
    <w:p w:rsidR="004F1FFC" w:rsidRDefault="004F1FFC">
      <w:pPr>
        <w:spacing w:line="276" w:lineRule="auto"/>
        <w:jc w:val="both"/>
        <w:rPr>
          <w:sz w:val="24"/>
        </w:rPr>
        <w:sectPr w:rsidR="004F1FFC">
          <w:pgSz w:w="11910" w:h="16840"/>
          <w:pgMar w:top="1320" w:right="1280" w:bottom="280" w:left="1280" w:header="708" w:footer="708" w:gutter="0"/>
          <w:cols w:space="708"/>
        </w:sectPr>
      </w:pPr>
    </w:p>
    <w:p w:rsidR="004F1FFC" w:rsidRDefault="004F1FFC">
      <w:pPr>
        <w:pStyle w:val="Heading2"/>
        <w:spacing w:before="78"/>
      </w:pPr>
      <w:r>
        <w:rPr>
          <w:color w:val="365F91"/>
        </w:rPr>
        <w:t>Védelembe vétel</w:t>
      </w:r>
    </w:p>
    <w:p w:rsidR="004F1FFC" w:rsidRDefault="004F1FFC">
      <w:pPr>
        <w:pStyle w:val="BodyText"/>
        <w:spacing w:before="45" w:line="276" w:lineRule="auto"/>
        <w:ind w:left="138" w:right="133" w:firstLine="0"/>
        <w:jc w:val="both"/>
        <w:rPr>
          <w:b/>
        </w:rPr>
      </w:pPr>
      <w:r>
        <w:t xml:space="preserve">Amennyiben a fentiek szerinti feladatokat biztosító, önkéntesen igénybe vehető </w:t>
      </w:r>
      <w:r>
        <w:rPr>
          <w:b/>
        </w:rPr>
        <w:t xml:space="preserve">alapellátás </w:t>
      </w:r>
      <w:r>
        <w:t xml:space="preserve">a gyermek veszélyeztetettségét (a gyermek, ill. szülője együttműködésének hiányában) nem tudja megszüntetni – de alaposan feltételezhető, hogy segítséggel a gyermek fejlődése a családi környezetben mégis biztosítható –, a gyámhatóság a gyermeket </w:t>
      </w:r>
      <w:r>
        <w:rPr>
          <w:b/>
        </w:rPr>
        <w:t>védelembe veszi.</w:t>
      </w:r>
    </w:p>
    <w:p w:rsidR="004F1FFC" w:rsidRDefault="004F1FFC">
      <w:pPr>
        <w:pStyle w:val="Heading3"/>
        <w:spacing w:before="125" w:line="276" w:lineRule="auto"/>
        <w:ind w:right="139"/>
      </w:pPr>
      <w:r>
        <w:t>A védelembe vétel keretében a gyámhatóság a következő szabályokat írhatja elő a gyermek, ill. szülője számára, melyek több esetben az online környezetben előforduló veszélyeztetettség kezelésében is relevánsak lehetnek: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115" w:line="273" w:lineRule="auto"/>
        <w:ind w:right="136"/>
        <w:jc w:val="both"/>
        <w:rPr>
          <w:sz w:val="24"/>
        </w:rPr>
      </w:pPr>
      <w:r>
        <w:rPr>
          <w:sz w:val="24"/>
        </w:rPr>
        <w:t>kötelezi a szülőt, hogy folyamatosan vegye igénybe a gyermekek napközbeni ellátását, a gyermekek átmeneti gondozását, az Nktv. hatálya alá tartozó iskolaotthonos nevelést-oktatást, illetve kollégiumi</w:t>
      </w:r>
      <w:r>
        <w:rPr>
          <w:spacing w:val="-1"/>
          <w:sz w:val="24"/>
        </w:rPr>
        <w:t xml:space="preserve"> </w:t>
      </w:r>
      <w:r>
        <w:rPr>
          <w:sz w:val="24"/>
        </w:rPr>
        <w:t>ellátást,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5" w:line="273" w:lineRule="auto"/>
        <w:ind w:right="138"/>
        <w:jc w:val="both"/>
        <w:rPr>
          <w:sz w:val="24"/>
        </w:rPr>
      </w:pPr>
      <w:r>
        <w:rPr>
          <w:sz w:val="24"/>
        </w:rPr>
        <w:t>kötelezi a szülőt, hogy gyermekével keressen fel valamely családvédelemmel foglalkozó személyt vagy</w:t>
      </w:r>
      <w:r>
        <w:rPr>
          <w:spacing w:val="-4"/>
          <w:sz w:val="24"/>
        </w:rPr>
        <w:t xml:space="preserve"> </w:t>
      </w:r>
      <w:r>
        <w:rPr>
          <w:sz w:val="24"/>
        </w:rPr>
        <w:t>szervezetet,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3"/>
        <w:rPr>
          <w:sz w:val="24"/>
        </w:rPr>
      </w:pPr>
      <w:r>
        <w:rPr>
          <w:sz w:val="24"/>
        </w:rPr>
        <w:t>kötelezi a szülőt arra, hogy gyermeke vegye igénybe az egészségügyi</w:t>
      </w:r>
      <w:r>
        <w:rPr>
          <w:spacing w:val="-26"/>
          <w:sz w:val="24"/>
        </w:rPr>
        <w:t xml:space="preserve"> </w:t>
      </w:r>
      <w:r>
        <w:rPr>
          <w:sz w:val="24"/>
        </w:rPr>
        <w:t>szolgáltatásokat,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42" w:line="276" w:lineRule="auto"/>
        <w:ind w:right="133"/>
        <w:jc w:val="both"/>
        <w:rPr>
          <w:sz w:val="24"/>
        </w:rPr>
      </w:pPr>
      <w:r>
        <w:rPr>
          <w:sz w:val="24"/>
        </w:rPr>
        <w:t>kezdeményezi a háziorvosnál – súlyos veszélyeztetettség esetén bármely orvosnál – a betegsége, illetve szenvedélybetegsége következtében állandóan vagy időszakosan kóros elmeállapotú szülő, illetve a gyermekkel együtt élő más hozzátartozó orvosi vizsgálatát,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0" w:line="273" w:lineRule="auto"/>
        <w:ind w:right="137"/>
        <w:jc w:val="both"/>
        <w:rPr>
          <w:sz w:val="24"/>
        </w:rPr>
      </w:pPr>
      <w:r>
        <w:rPr>
          <w:sz w:val="24"/>
        </w:rPr>
        <w:t>intézkedik – az illetékes szervek bevonásával – a gyermek egészségét veszélyeztető 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megszüntetéséről,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5" w:line="273" w:lineRule="auto"/>
        <w:ind w:right="136"/>
        <w:jc w:val="both"/>
        <w:rPr>
          <w:sz w:val="24"/>
        </w:rPr>
      </w:pPr>
      <w:r>
        <w:rPr>
          <w:sz w:val="24"/>
        </w:rPr>
        <w:t>magatartási szabályokat állapít meg a gyermek számára a kifogásolt magatartás megszüntetése érdekében,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3" w:line="273" w:lineRule="auto"/>
        <w:ind w:right="142"/>
        <w:jc w:val="both"/>
        <w:rPr>
          <w:sz w:val="24"/>
        </w:rPr>
      </w:pPr>
      <w:r>
        <w:rPr>
          <w:sz w:val="24"/>
        </w:rPr>
        <w:t>figyelmezteti a szülőt helytelen életvezetésének, magatartásának következményére, és felszólítja annak</w:t>
      </w:r>
      <w:r>
        <w:rPr>
          <w:spacing w:val="-2"/>
          <w:sz w:val="24"/>
        </w:rPr>
        <w:t xml:space="preserve"> </w:t>
      </w:r>
      <w:r>
        <w:rPr>
          <w:sz w:val="24"/>
        </w:rPr>
        <w:t>megváltoztatására,</w:t>
      </w:r>
    </w:p>
    <w:p w:rsidR="004F1FFC" w:rsidRDefault="004F1FFC">
      <w:pPr>
        <w:pStyle w:val="ListParagraph"/>
        <w:numPr>
          <w:ilvl w:val="0"/>
          <w:numId w:val="1"/>
        </w:numPr>
        <w:tabs>
          <w:tab w:val="left" w:pos="859"/>
        </w:tabs>
        <w:spacing w:before="3" w:line="276" w:lineRule="auto"/>
        <w:ind w:right="137"/>
        <w:jc w:val="both"/>
        <w:rPr>
          <w:sz w:val="24"/>
        </w:rPr>
      </w:pPr>
      <w:r>
        <w:rPr>
          <w:sz w:val="24"/>
        </w:rPr>
        <w:t>kötelezheti a szülőt és a gyermeket, illetve felkérheti a konfliktusban érintett más személyt arra, hogy a nevelési-oktatási intézményben előforduló erőszak miatt kialakult helyzet vagy más súlyos konfliktushelyzet kezelése érdekében jelenjen meg iskolapszichológusi vizsgálaton, illetve vegye igénybe a konfliktuskezelést segítő szolgáltatást.</w:t>
      </w:r>
    </w:p>
    <w:p w:rsidR="004F1FFC" w:rsidRDefault="004F1FFC">
      <w:pPr>
        <w:pStyle w:val="BodyText"/>
        <w:spacing w:before="120" w:line="276" w:lineRule="auto"/>
        <w:ind w:left="138" w:right="140" w:firstLine="0"/>
        <w:jc w:val="both"/>
      </w:pPr>
      <w:r>
        <w:t>A gyámhatóság a védelembe vétel mellett feljelentést tesz a gyermek sérelmére elkövetett, tudomására jutott bűncselekmény gyanúja esetén.</w:t>
      </w:r>
    </w:p>
    <w:p w:rsidR="004F1FFC" w:rsidRDefault="004F1FFC">
      <w:pPr>
        <w:pStyle w:val="BodyText"/>
        <w:ind w:left="0" w:firstLine="0"/>
        <w:rPr>
          <w:sz w:val="26"/>
        </w:rPr>
      </w:pPr>
    </w:p>
    <w:p w:rsidR="004F1FFC" w:rsidRDefault="004F1FFC">
      <w:pPr>
        <w:pStyle w:val="Heading2"/>
        <w:spacing w:before="187"/>
      </w:pPr>
      <w:r>
        <w:rPr>
          <w:color w:val="365F91"/>
        </w:rPr>
        <w:t>Nevelésbe vétel</w:t>
      </w:r>
    </w:p>
    <w:p w:rsidR="004F1FFC" w:rsidRDefault="004F1FFC">
      <w:pPr>
        <w:pStyle w:val="Heading3"/>
        <w:spacing w:line="276" w:lineRule="auto"/>
        <w:ind w:right="133"/>
      </w:pPr>
      <w:r>
        <w:t>A gyermek gyermekvédelmi szakellátásba helyezésére – ideiglenes hatályú elhelyezésére, nevelésbe vételére, vagyis családjából való kiemelésével otthont nyújtó ellátásának és törvényes képviseletének biztosítására – a fentiek tükrében abban az esetben kerül sor, ha veszélyeztetettségét sem a gyermekjóléti alapellátás keretében, sem a védelembe vétellel előírt szabályokkal nem sikerült megszüntetni.</w:t>
      </w:r>
    </w:p>
    <w:p w:rsidR="004F1FFC" w:rsidRDefault="004F1FFC">
      <w:pPr>
        <w:pStyle w:val="BodyText"/>
        <w:spacing w:before="116" w:line="276" w:lineRule="auto"/>
        <w:ind w:left="138" w:right="140" w:firstLine="0"/>
        <w:jc w:val="both"/>
      </w:pPr>
      <w:r>
        <w:t>A családjából kiemelt gyermeket elsősorban, a 12 év alatti gyermeket főszabály szerint nevelőszülőnél kell elhelyezni. A nevelőszülőnél vagy a gyermekotthonban elhelyezett gyermekek valamennyien gyermekvédelmi gyám gyámsága alatt állnak, aki előmozdítja e</w:t>
      </w:r>
    </w:p>
    <w:p w:rsidR="004F1FFC" w:rsidRDefault="004F1FFC">
      <w:pPr>
        <w:spacing w:line="276" w:lineRule="auto"/>
        <w:jc w:val="both"/>
        <w:sectPr w:rsidR="004F1FFC">
          <w:pgSz w:w="11910" w:h="16840"/>
          <w:pgMar w:top="1320" w:right="1280" w:bottom="280" w:left="1280" w:header="708" w:footer="708" w:gutter="0"/>
          <w:cols w:space="708"/>
        </w:sectPr>
      </w:pPr>
    </w:p>
    <w:p w:rsidR="004F1FFC" w:rsidRDefault="004F1FFC">
      <w:pPr>
        <w:pStyle w:val="BodyText"/>
        <w:spacing w:before="74" w:line="276" w:lineRule="auto"/>
        <w:ind w:left="138" w:right="141" w:firstLine="0"/>
        <w:jc w:val="both"/>
      </w:pPr>
      <w:r>
        <w:t>kiskorúak megfelelő ellátását, nevelését, gondoskodik az iskolába történő beíratásáról, a szükséges egészségügyi ellátás igénybe vételéről.</w:t>
      </w:r>
    </w:p>
    <w:p w:rsidR="004F1FFC" w:rsidRPr="00A81A78" w:rsidRDefault="004F1FFC" w:rsidP="00A81A78">
      <w:pPr>
        <w:pStyle w:val="BodyText"/>
        <w:spacing w:before="120" w:line="276" w:lineRule="auto"/>
        <w:ind w:left="138" w:right="135" w:firstLine="0"/>
        <w:jc w:val="both"/>
      </w:pPr>
      <w:r>
        <w:t>A gyámhatóság rendszeres időközönként felülvizsgálja a nevelésbe vétel fenntartásának szükségességét, a gyermek hazagondozásának lehetőségét, ennek hiányában – kisebb életkorú gyermekek esetén – az örökbefogadás előmozdításának lehetőségét.</w:t>
      </w:r>
    </w:p>
    <w:p w:rsidR="004F1FFC" w:rsidRDefault="004F1FFC">
      <w:pPr>
        <w:pStyle w:val="Heading2"/>
        <w:jc w:val="left"/>
      </w:pPr>
      <w:r>
        <w:rPr>
          <w:color w:val="365F91"/>
        </w:rPr>
        <w:t>Összegzés</w:t>
      </w:r>
    </w:p>
    <w:p w:rsidR="004F1FFC" w:rsidRDefault="004F1FFC">
      <w:pPr>
        <w:pStyle w:val="Heading3"/>
        <w:spacing w:line="276" w:lineRule="auto"/>
        <w:ind w:right="133"/>
      </w:pPr>
      <w:r>
        <w:t>Összegezve: A gyermekek védelmét szolgáló fentebb bemutatott rendszerben dolgozó gyermekjóléti és gyermekvédelmi szakemberek, a gyermekvédelmi észlelő- és jelzőrendszer tagjai és a szülők/gyámok valamennyien találkozhatnak a gyermekek online térben való veszélyeztetettségével, melynek észlelése esetén jelzési kötelezettségük áll fenn.</w:t>
      </w:r>
    </w:p>
    <w:p w:rsidR="004F1FFC" w:rsidRDefault="004F1FFC">
      <w:pPr>
        <w:tabs>
          <w:tab w:val="left" w:pos="1554"/>
        </w:tabs>
        <w:spacing w:before="118"/>
        <w:ind w:left="138"/>
        <w:rPr>
          <w:i/>
          <w:sz w:val="24"/>
        </w:rPr>
      </w:pPr>
      <w:r>
        <w:rPr>
          <w:i/>
          <w:sz w:val="24"/>
        </w:rPr>
        <w:t>Készítette:</w:t>
      </w:r>
      <w:r>
        <w:rPr>
          <w:i/>
          <w:sz w:val="24"/>
        </w:rPr>
        <w:tab/>
        <w:t>Emberi Erőforrások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Minisztériuma</w:t>
      </w:r>
    </w:p>
    <w:p w:rsidR="004F1FFC" w:rsidRDefault="004F1FFC">
      <w:pPr>
        <w:spacing w:before="40" w:line="276" w:lineRule="auto"/>
        <w:ind w:left="1554" w:right="816"/>
        <w:rPr>
          <w:i/>
          <w:sz w:val="24"/>
        </w:rPr>
      </w:pPr>
      <w:r>
        <w:rPr>
          <w:i/>
          <w:sz w:val="24"/>
        </w:rPr>
        <w:t>Szociális Ügyekért és Társadalmi Felzárkózásért Felelős Államtitkárság Gyermekvédelmi és Gyámügyi Főosztály</w:t>
      </w:r>
    </w:p>
    <w:sectPr w:rsidR="004F1FFC" w:rsidSect="0028286B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A7"/>
    <w:multiLevelType w:val="hybridMultilevel"/>
    <w:tmpl w:val="FFFFFFFF"/>
    <w:lvl w:ilvl="0" w:tplc="E5FC97DE">
      <w:numFmt w:val="bullet"/>
      <w:lvlText w:val=""/>
      <w:lvlJc w:val="left"/>
      <w:pPr>
        <w:ind w:left="858" w:hanging="360"/>
      </w:pPr>
      <w:rPr>
        <w:rFonts w:ascii="Symbol" w:eastAsia="Times New Roman" w:hAnsi="Symbol" w:hint="default"/>
        <w:w w:val="100"/>
        <w:sz w:val="24"/>
      </w:rPr>
    </w:lvl>
    <w:lvl w:ilvl="1" w:tplc="8A44CD3A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A7C00F3C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C914961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F2487936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9F4A67AC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CCFA3336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21C87F3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0B82BD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">
    <w:nsid w:val="3C7335BE"/>
    <w:multiLevelType w:val="hybridMultilevel"/>
    <w:tmpl w:val="FFFFFFFF"/>
    <w:lvl w:ilvl="0" w:tplc="CD0E22F6">
      <w:start w:val="1"/>
      <w:numFmt w:val="decimal"/>
      <w:lvlText w:val="(%1)"/>
      <w:lvlJc w:val="left"/>
      <w:pPr>
        <w:ind w:left="47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7C92A2">
      <w:numFmt w:val="bullet"/>
      <w:lvlText w:val=""/>
      <w:lvlJc w:val="left"/>
      <w:pPr>
        <w:ind w:left="858" w:hanging="360"/>
      </w:pPr>
      <w:rPr>
        <w:rFonts w:ascii="Symbol" w:eastAsia="Times New Roman" w:hAnsi="Symbol" w:hint="default"/>
        <w:w w:val="100"/>
        <w:sz w:val="24"/>
      </w:rPr>
    </w:lvl>
    <w:lvl w:ilvl="2" w:tplc="BE264366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1234B6BC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FD58C83A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CC1A7B32"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8DBAB93C"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E9DC208E"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5FF82D98">
      <w:numFmt w:val="bullet"/>
      <w:lvlText w:val="•"/>
      <w:lvlJc w:val="left"/>
      <w:pPr>
        <w:ind w:left="74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6B"/>
    <w:rsid w:val="0028286B"/>
    <w:rsid w:val="004F1FFC"/>
    <w:rsid w:val="00626A07"/>
    <w:rsid w:val="00855427"/>
    <w:rsid w:val="00A8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6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8286B"/>
    <w:pPr>
      <w:ind w:left="138"/>
      <w:outlineLvl w:val="0"/>
    </w:pPr>
    <w:rPr>
      <w:rFonts w:ascii="Cambria" w:eastAsia="Calibri" w:hAnsi="Cambria" w:cs="Cambria"/>
      <w:sz w:val="52"/>
      <w:szCs w:val="52"/>
    </w:rPr>
  </w:style>
  <w:style w:type="paragraph" w:styleId="Heading2">
    <w:name w:val="heading 2"/>
    <w:basedOn w:val="Normal"/>
    <w:link w:val="Heading2Char"/>
    <w:uiPriority w:val="99"/>
    <w:qFormat/>
    <w:rsid w:val="0028286B"/>
    <w:pPr>
      <w:spacing w:before="185"/>
      <w:ind w:left="138"/>
      <w:jc w:val="both"/>
      <w:outlineLvl w:val="1"/>
    </w:pPr>
    <w:rPr>
      <w:rFonts w:ascii="Cambria" w:eastAsia="Calibri" w:hAnsi="Cambria" w:cs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8286B"/>
    <w:pPr>
      <w:spacing w:before="49"/>
      <w:ind w:left="138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49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49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49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286B"/>
    <w:pPr>
      <w:ind w:left="85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749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8286B"/>
    <w:pPr>
      <w:spacing w:before="39"/>
      <w:ind w:left="858" w:hanging="360"/>
    </w:pPr>
  </w:style>
  <w:style w:type="paragraph" w:customStyle="1" w:styleId="TableParagraph">
    <w:name w:val="Table Paragraph"/>
    <w:basedOn w:val="Normal"/>
    <w:uiPriority w:val="99"/>
    <w:rsid w:val="0028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1405</Words>
  <Characters>9701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GYERMEKVE DELMI</dc:title>
  <dc:subject/>
  <dc:creator/>
  <cp:keywords/>
  <dc:description/>
  <cp:lastModifiedBy>Iroda</cp:lastModifiedBy>
  <cp:revision>2</cp:revision>
  <dcterms:created xsi:type="dcterms:W3CDTF">2017-10-17T13:14:00Z</dcterms:created>
  <dcterms:modified xsi:type="dcterms:W3CDTF">2017-10-17T13:14:00Z</dcterms:modified>
</cp:coreProperties>
</file>